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Study the table below.  Cut and paste the abbreviation that matches the explanation.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rtl w:val="0"/>
        </w:rPr>
        <w:tab/>
      </w:r>
    </w:p>
    <w:tbl>
      <w:tblPr>
        <w:tblStyle w:val="Table1"/>
        <w:bidi w:val="0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96"/>
        <w:gridCol w:w="1296"/>
        <w:gridCol w:w="1296"/>
        <w:gridCol w:w="1296"/>
        <w:gridCol w:w="1296"/>
        <w:gridCol w:w="1296"/>
        <w:gridCol w:w="1296"/>
        <w:tblGridChange w:id="0">
          <w:tblGrid>
            <w:gridCol w:w="1296"/>
            <w:gridCol w:w="1296"/>
            <w:gridCol w:w="1296"/>
            <w:gridCol w:w="1296"/>
            <w:gridCol w:w="1296"/>
            <w:gridCol w:w="1296"/>
            <w:gridCol w:w="1296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RAM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WLAN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Mb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Gb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CPU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USB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Kb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ROM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RSI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www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HTML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http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AP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color w:val="ff0000"/>
                <w:rtl w:val="0"/>
              </w:rPr>
              <w:t xml:space="preserve">VDU</w:t>
            </w:r>
          </w:p>
        </w:tc>
      </w:tr>
    </w:tbl>
    <w:p w:rsidR="00000000" w:rsidDel="00000000" w:rsidP="00000000" w:rsidRDefault="00000000" w:rsidRPr="00000000">
      <w:pPr>
        <w:ind w:left="0" w:firstLine="0"/>
        <w:contextualSpacing w:val="0"/>
      </w:pPr>
      <w:bookmarkStart w:colFirst="0" w:colLast="0" w:name="h.gjdgxs" w:id="0"/>
      <w:bookmarkEnd w:id="0"/>
      <w:r w:rsidDel="00000000" w:rsidR="00000000" w:rsidRPr="00000000">
        <w:rPr>
          <w:color w:val="ff0000"/>
          <w:rtl w:val="0"/>
        </w:rPr>
        <w:tab/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Embolden each entry that refers to the Internet or Network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Italicise each entry that is about to storage space, data or memory.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Centre the heading and enhance the column headings in the table.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Read the text carefully below the table and find three deliberate </w:t>
      </w:r>
      <w:r w:rsidDel="00000000" w:rsidR="00000000" w:rsidRPr="00000000">
        <w:rPr>
          <w:b w:val="1"/>
          <w:color w:val="ff0000"/>
          <w:rtl w:val="0"/>
        </w:rPr>
        <w:t xml:space="preserve">mistakes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Insert your name, delete these instructions.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tl w:val="0"/>
        </w:rPr>
        <w:t xml:space="preserve">COMMON COMPUTER ABBREVIATIONS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210.0" w:type="dxa"/>
        <w:jc w:val="left"/>
        <w:tblInd w:w="-2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0"/>
        <w:gridCol w:w="2550"/>
        <w:gridCol w:w="1575"/>
        <w:gridCol w:w="3345"/>
        <w:tblGridChange w:id="0">
          <w:tblGrid>
            <w:gridCol w:w="1740"/>
            <w:gridCol w:w="2550"/>
            <w:gridCol w:w="1575"/>
            <w:gridCol w:w="334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Abbreviation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Meaning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Abbreviation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Meaning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world wide web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Random access memory; memory used to run programs.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Universal Serial Bus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Read only  memory; Memory where programs and data are stored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Central processing unit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hyper text transfer protocol.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Visual display unit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Megabyte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(1024 Kilobytes)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Kilobyte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(1024 bytes)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Gigabyte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(1024 Megabyte)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Wireless local area network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Repetitive Strain Injury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Hyper Text Markup Language. The language that web pages are written in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Access point; A place where you can connect to a network.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Kb, Mb and Gb </w:t>
      </w:r>
      <w:r w:rsidDel="00000000" w:rsidR="00000000" w:rsidRPr="00000000">
        <w:rPr>
          <w:b w:val="1"/>
          <w:rtl w:val="0"/>
        </w:rPr>
        <w:t xml:space="preserve">prefer</w:t>
      </w:r>
      <w:r w:rsidDel="00000000" w:rsidR="00000000" w:rsidRPr="00000000">
        <w:rPr>
          <w:rtl w:val="0"/>
        </w:rPr>
        <w:t xml:space="preserve"> to amounts of data.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RSI are injuries that can be caused by using of a computer (or anything else) for a long time in a bad way. </w:t>
      </w:r>
      <w:r w:rsidDel="00000000" w:rsidR="00000000" w:rsidRPr="00000000">
        <w:rPr>
          <w:b w:val="1"/>
          <w:rtl w:val="0"/>
        </w:rPr>
        <w:t xml:space="preserve">Fallow</w:t>
      </w:r>
      <w:r w:rsidDel="00000000" w:rsidR="00000000" w:rsidRPr="00000000">
        <w:rPr>
          <w:rtl w:val="0"/>
        </w:rPr>
        <w:t xml:space="preserve"> the proper guidelines when using a computer, eg correct height of chair, desk, back support, screen brightness.  RSI includes a range of pains and discomforts associated with the soft tissue, tendons and muscles.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HTTP is a set of rules that need to be followed when </w:t>
      </w:r>
      <w:r w:rsidDel="00000000" w:rsidR="00000000" w:rsidRPr="00000000">
        <w:rPr>
          <w:b w:val="1"/>
          <w:rtl w:val="0"/>
        </w:rPr>
        <w:t xml:space="preserve">wet</w:t>
      </w:r>
      <w:r w:rsidDel="00000000" w:rsidR="00000000" w:rsidRPr="00000000">
        <w:rPr>
          <w:rtl w:val="0"/>
        </w:rPr>
        <w:t xml:space="preserve"> pages are sent to your computer.</w:t>
      </w:r>
    </w:p>
    <w:sectPr>
      <w:pgSz w:h="16834" w:w="11901"/>
      <w:pgMar w:bottom="1441" w:top="1441" w:left="1798" w:right="17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